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color w:val="274e13"/>
          <w:sz w:val="60"/>
          <w:szCs w:val="60"/>
          <w:rtl w:val="0"/>
        </w:rPr>
        <w:t xml:space="preserve">Green School Plans 2016/17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60"/>
          <w:szCs w:val="60"/>
          <w:rtl w:val="0"/>
        </w:rPr>
        <w:t xml:space="preserve">Litter and Waste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Recycling bins in the corridors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2 bins in each classroom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Rubbish Rota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Re-usable bottles - plastic bottle free school.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b w:val="1"/>
          <w:i w:val="1"/>
          <w:sz w:val="48"/>
          <w:szCs w:val="48"/>
          <w:u w:val="none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Education and awareness - posters and competitions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60"/>
          <w:szCs w:val="60"/>
          <w:rtl w:val="0"/>
        </w:rPr>
        <w:t xml:space="preserve">Biodiversity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i w:val="1"/>
          <w:sz w:val="48"/>
          <w:szCs w:val="48"/>
          <w:u w:val="none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Outdoor classroom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i w:val="1"/>
          <w:sz w:val="48"/>
          <w:szCs w:val="48"/>
          <w:u w:val="none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Tree planting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60"/>
          <w:szCs w:val="60"/>
          <w:rtl w:val="0"/>
        </w:rPr>
        <w:t xml:space="preserve">Energy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b w:val="1"/>
          <w:i w:val="1"/>
          <w:sz w:val="48"/>
          <w:szCs w:val="48"/>
          <w:u w:val="none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Lights and Computers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Scheme: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Details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Students and teachers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Plastic Bottles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Bins in Corridors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Bins in Classrooms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Need a student collecting the recycling bins every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Posters and Displays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Rubbish Rota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Outdoor Classroom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Planting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 incentives and competitions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Sustainable travel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